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268</w:t>
      </w:r>
    </w:p>
    <w:p>
      <w:r>
        <w:t>Bundesgericht (BGE), 1974-10-03, FR</w:t>
      </w:r>
    </w:p>
    <w:p>
      <w:r>
        <w:rPr>
          <w:b/>
        </w:rPr>
        <w:t xml:space="preserve">Quelle: </w:t>
      </w:r>
      <w:r>
        <w:t>https://mcp.opencaselaw.ch/entscheid/bge_100 IV 268</w:t>
      </w:r>
    </w:p>
    <w:p>
      <w:r>
        <w:t>FR: ATF 100 IV 268</w:t>
      </w:r>
    </w:p>
    <w:p>
      <w:r>
        <w:t>IT: DTF 100 IV 268</w:t>
      </w:r>
    </w:p>
    <w:p>
      <w:pPr>
        <w:pStyle w:val="Heading2"/>
      </w:pPr>
      <w:r>
        <w:t>Regeste</w:t>
      </w:r>
    </w:p>
    <w:p>
      <w:r>
        <w:t>Regeste Art. 269 Abs. 1 BStP. Der Grundsatz "in dubio pro reo" ist nicht eine Regel des Bundesrechts, deren Verletzung mit Nichtigkeitsbeschwerde angefochten werden könnte (Erw. 1). Art. 273 Abs. 1 lit. b und 277bis Abs. 1 BStP; Art. 91 Abs. 1 SVG. Der Blutalkoholgehalt einer Person in einem bestimmten Zeitpunkt ist Tatfrage, die vom kantonalen Richter verbindlich beantwortet wird. Rechtsfrage ist hingegen, ob ein Fahrzeugführer in einem bestimmten Zustand der Alkoholisierung als angetrunken zu betrachten ist (Erw. 2).</w:t>
      </w:r>
    </w:p>
    <w:p>
      <w:pPr>
        <w:pStyle w:val="Heading2"/>
      </w:pPr>
      <w:r>
        <w:t>Erwägungen</w:t>
      </w:r>
    </w:p>
    <w:p>
      <w:r>
        <w:rPr>
          <w:b/>
        </w:rPr>
        <w:t>E. 1</w:t>
      </w:r>
    </w:p>
    <w:p>
      <w:r>
        <w:t>Le principe "in dubio pro reo" concerne l'appréciation des preuves (RO 83 IV 203); il est qualifié par le recourant lui-même de "principe de procédure". C'est dire qu'il ne constitue pas une règle de droit fédéral (RO 96 I 444 et cit.) dont la violation ouvrirait la voie du pourvoi en nullité, conformément à l'art. 269 al. 1 PPF.</w:t>
      </w:r>
    </w:p>
    <w:p>
      <w:r>
        <w:rPr>
          <w:b/>
        </w:rPr>
        <w:t>E. 2</w:t>
      </w:r>
    </w:p>
    <w:p>
      <w:r>
        <w:t>La détermination du dégré d'alcoolémie présenté par une personne à un moment donné est une question de fait (BUSSY-RUSCONI, Code suisse de la circulation routière, art. 91, n. 2.5; GRISEL, JdT 1958 IV 130 et cit.) tranchée BGE 100 IV 268 S. 270 souverainement par l'autorité cantonale (art. 273 al. 1 lit. b et 277 bis al. 1 PPF). Le recourant n'est donc pas recevable à revenir sur le taux d'alcoolémie de 0,9 gr‰ qui lui a été reconnu au moment de l'accident. En revanche, c'est une question de droit que de juger si un conducteur présentant un certain état éthylique doit être considéré comme pris de boisson au sens de l'art. 91 al. 1 LCR (RO 90 IV 226). En l'occurrence toutefois, l'autorité cantonale n'a nullement violé le droit fédéral en estimant qu'un taux d'alcoolémie de 0,9‰ justifiait l'imputation d'ivresse au volant (cf. RO 90 IV 159).</w:t>
      </w:r>
    </w:p>
    <w:p>
      <w:r>
        <w:rPr>
          <w:b/>
        </w:rPr>
        <w:t>E. 3</w:t>
      </w:r>
    </w:p>
    <w:p>
      <w:r>
        <w:t>La cour de céans, liée par les constatations de l'autorité cantonale (art. 277 bis al. 1 PPF), ne saurait prendre en considération l'affirmation - nouvelle et que rien au dossier ne vient corroborer - selon laquelle le recourant prendrait des médicaments susceptibles de retarder la résorption de l'alcool.</w:t>
      </w:r>
    </w:p>
    <w:p>
      <w:r>
        <w:rPr>
          <w:b/>
        </w:rPr>
        <w:t>E. 4</w:t>
      </w:r>
    </w:p>
    <w:p>
      <w:r>
        <w:t>Enfin, dès lors que l'examen auquel le recourant a été soumis était approprié, que l'appréciation d'un médecin légiste n'a pas été demandée par l'intéressé et que le résultat de l'analyse du sang ne suscitait aucun doute au regard des éléments de la cause, on ne voit pas en quoi l'art. 55 LCR ou l'art. 4 al.3 de l'ACF sur la constatation de l'ébriété auraient été violés.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